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30770" w14:textId="7EAB499D" w:rsidR="009E6F6A" w:rsidRPr="00D43C45" w:rsidRDefault="009E6F6A" w:rsidP="00324C3C">
      <w:pPr>
        <w:spacing w:after="0" w:line="240" w:lineRule="auto"/>
        <w:rPr>
          <w:rFonts w:ascii="Garamond" w:hAnsi="Garamond"/>
        </w:rPr>
      </w:pPr>
    </w:p>
    <w:p w14:paraId="0C33F5B0" w14:textId="4065244C" w:rsidR="00324C3C" w:rsidRPr="00D43C45" w:rsidRDefault="00324C3C" w:rsidP="00324C3C">
      <w:pPr>
        <w:spacing w:after="0" w:line="240" w:lineRule="auto"/>
        <w:rPr>
          <w:rFonts w:ascii="Garamond" w:hAnsi="Garamond"/>
          <w:sz w:val="28"/>
          <w:szCs w:val="28"/>
        </w:rPr>
      </w:pPr>
    </w:p>
    <w:p w14:paraId="2BD11813" w14:textId="2C601D79" w:rsidR="00324C3C" w:rsidRPr="00D43C45" w:rsidRDefault="00324C3C" w:rsidP="00324C3C">
      <w:pPr>
        <w:spacing w:after="0" w:line="240" w:lineRule="auto"/>
        <w:jc w:val="center"/>
        <w:rPr>
          <w:rFonts w:ascii="Garamond" w:hAnsi="Garamond"/>
          <w:b/>
          <w:bCs/>
          <w:sz w:val="28"/>
          <w:szCs w:val="28"/>
        </w:rPr>
      </w:pPr>
      <w:r w:rsidRPr="00D43C45">
        <w:rPr>
          <w:rFonts w:ascii="Garamond" w:hAnsi="Garamond"/>
          <w:b/>
          <w:bCs/>
          <w:sz w:val="28"/>
          <w:szCs w:val="28"/>
        </w:rPr>
        <w:t xml:space="preserve">TACF Finance Committee Videoconference </w:t>
      </w:r>
      <w:r w:rsidR="00055D0B">
        <w:rPr>
          <w:rFonts w:ascii="Garamond" w:hAnsi="Garamond"/>
          <w:b/>
          <w:bCs/>
          <w:sz w:val="28"/>
          <w:szCs w:val="28"/>
        </w:rPr>
        <w:t>Minutes</w:t>
      </w:r>
    </w:p>
    <w:p w14:paraId="4FC3F635" w14:textId="1A05F436" w:rsidR="00324C3C" w:rsidRPr="00D43C45" w:rsidRDefault="00324C3C" w:rsidP="00324C3C">
      <w:pPr>
        <w:spacing w:after="0" w:line="240" w:lineRule="auto"/>
        <w:jc w:val="center"/>
        <w:rPr>
          <w:rFonts w:ascii="Garamond" w:hAnsi="Garamond"/>
          <w:b/>
          <w:bCs/>
          <w:sz w:val="28"/>
          <w:szCs w:val="28"/>
        </w:rPr>
      </w:pPr>
      <w:r w:rsidRPr="00D43C45">
        <w:rPr>
          <w:rFonts w:ascii="Garamond" w:hAnsi="Garamond"/>
          <w:b/>
          <w:bCs/>
          <w:sz w:val="28"/>
          <w:szCs w:val="28"/>
        </w:rPr>
        <w:t>November 4, 2020</w:t>
      </w:r>
    </w:p>
    <w:p w14:paraId="3E792C28" w14:textId="56C16409" w:rsidR="00324C3C" w:rsidRPr="00D43C45" w:rsidRDefault="00324C3C" w:rsidP="00324C3C">
      <w:pPr>
        <w:spacing w:after="0" w:line="240" w:lineRule="auto"/>
        <w:rPr>
          <w:rFonts w:ascii="Garamond" w:hAnsi="Garamond"/>
          <w:b/>
          <w:bCs/>
        </w:rPr>
      </w:pPr>
    </w:p>
    <w:p w14:paraId="0A96FC3E" w14:textId="77777777" w:rsidR="001763B8" w:rsidRPr="00D43C45" w:rsidRDefault="00324C3C" w:rsidP="00324C3C">
      <w:pPr>
        <w:spacing w:after="0" w:line="240" w:lineRule="auto"/>
        <w:rPr>
          <w:rFonts w:ascii="Garamond" w:hAnsi="Garamond"/>
        </w:rPr>
      </w:pPr>
      <w:r w:rsidRPr="00D43C45">
        <w:rPr>
          <w:rFonts w:ascii="Garamond" w:hAnsi="Garamond"/>
          <w:b/>
          <w:bCs/>
        </w:rPr>
        <w:t xml:space="preserve">Attending Committee Members:  </w:t>
      </w:r>
      <w:r w:rsidRPr="00D43C45">
        <w:rPr>
          <w:rFonts w:ascii="Garamond" w:hAnsi="Garamond"/>
        </w:rPr>
        <w:t xml:space="preserve">Steve Barilovits, </w:t>
      </w:r>
      <w:r w:rsidRPr="00055D0B">
        <w:rPr>
          <w:rFonts w:ascii="Garamond" w:hAnsi="Garamond"/>
        </w:rPr>
        <w:t>Jay Cude,</w:t>
      </w:r>
      <w:r w:rsidRPr="00D43C45">
        <w:rPr>
          <w:rFonts w:ascii="Garamond" w:hAnsi="Garamond"/>
        </w:rPr>
        <w:t xml:space="preserve"> Lewis Lobdell, David Morris, Cartter Patten, Jim Searing, Brad Stanback, Don Willeke, Paul Wingenfeld, Barb Tormoehlen </w:t>
      </w:r>
    </w:p>
    <w:p w14:paraId="54278529" w14:textId="10856D29" w:rsidR="00324C3C" w:rsidRPr="00D43C45" w:rsidRDefault="00324C3C" w:rsidP="00324C3C">
      <w:pPr>
        <w:spacing w:after="0" w:line="240" w:lineRule="auto"/>
        <w:rPr>
          <w:rFonts w:ascii="Garamond" w:hAnsi="Garamond"/>
        </w:rPr>
      </w:pPr>
      <w:r w:rsidRPr="00D43C45">
        <w:rPr>
          <w:rFonts w:ascii="Garamond" w:hAnsi="Garamond"/>
        </w:rPr>
        <w:t xml:space="preserve">[quorum established – </w:t>
      </w:r>
      <w:r w:rsidR="003066A9" w:rsidRPr="00D43C45">
        <w:rPr>
          <w:rFonts w:ascii="Garamond" w:hAnsi="Garamond"/>
        </w:rPr>
        <w:t>9</w:t>
      </w:r>
      <w:r w:rsidRPr="00D43C45">
        <w:rPr>
          <w:rFonts w:ascii="Garamond" w:hAnsi="Garamond"/>
        </w:rPr>
        <w:t xml:space="preserve"> of 16 </w:t>
      </w:r>
      <w:r w:rsidR="00D43C45">
        <w:rPr>
          <w:rFonts w:ascii="Garamond" w:hAnsi="Garamond"/>
        </w:rPr>
        <w:t xml:space="preserve">voting </w:t>
      </w:r>
      <w:r w:rsidRPr="00D43C45">
        <w:rPr>
          <w:rFonts w:ascii="Garamond" w:hAnsi="Garamond"/>
        </w:rPr>
        <w:t>members]</w:t>
      </w:r>
    </w:p>
    <w:p w14:paraId="178FD276" w14:textId="0389C06D" w:rsidR="00324C3C" w:rsidRPr="00D43C45" w:rsidRDefault="00324C3C" w:rsidP="00324C3C">
      <w:pPr>
        <w:spacing w:after="0" w:line="240" w:lineRule="auto"/>
        <w:rPr>
          <w:rFonts w:ascii="Garamond" w:hAnsi="Garamond"/>
        </w:rPr>
      </w:pPr>
    </w:p>
    <w:p w14:paraId="56A7DAFB" w14:textId="61B4140E" w:rsidR="00324C3C" w:rsidRPr="00D43C45" w:rsidRDefault="00324C3C" w:rsidP="00324C3C">
      <w:pPr>
        <w:spacing w:after="0" w:line="240" w:lineRule="auto"/>
        <w:rPr>
          <w:rFonts w:ascii="Garamond" w:hAnsi="Garamond"/>
        </w:rPr>
      </w:pPr>
      <w:r w:rsidRPr="00D43C45">
        <w:rPr>
          <w:rFonts w:ascii="Garamond" w:hAnsi="Garamond"/>
          <w:b/>
          <w:bCs/>
        </w:rPr>
        <w:t>Others Attending:</w:t>
      </w:r>
      <w:r w:rsidRPr="00D43C45">
        <w:rPr>
          <w:rFonts w:ascii="Garamond" w:hAnsi="Garamond"/>
        </w:rPr>
        <w:t xml:space="preserve">  Lisa Thomson, Betsy Gamber</w:t>
      </w:r>
    </w:p>
    <w:p w14:paraId="5472429A" w14:textId="3E71E11E" w:rsidR="00324C3C" w:rsidRPr="00D43C45" w:rsidRDefault="00324C3C" w:rsidP="00324C3C">
      <w:pPr>
        <w:spacing w:after="0" w:line="240" w:lineRule="auto"/>
        <w:rPr>
          <w:rFonts w:ascii="Garamond" w:hAnsi="Garamond"/>
        </w:rPr>
      </w:pPr>
    </w:p>
    <w:p w14:paraId="094F90CD" w14:textId="77777777" w:rsidR="00D43C45" w:rsidRDefault="00324C3C" w:rsidP="00324C3C">
      <w:pPr>
        <w:spacing w:after="0" w:line="240" w:lineRule="auto"/>
        <w:rPr>
          <w:rFonts w:ascii="Garamond" w:hAnsi="Garamond"/>
        </w:rPr>
      </w:pPr>
      <w:r w:rsidRPr="00D43C45">
        <w:rPr>
          <w:rFonts w:ascii="Garamond" w:hAnsi="Garamond"/>
          <w:b/>
          <w:bCs/>
        </w:rPr>
        <w:t>Purpose:</w:t>
      </w:r>
      <w:r w:rsidRPr="00D43C45">
        <w:rPr>
          <w:rFonts w:ascii="Garamond" w:hAnsi="Garamond"/>
        </w:rPr>
        <w:t xml:space="preserve">  </w:t>
      </w:r>
    </w:p>
    <w:p w14:paraId="31D60734" w14:textId="2D1B3F13" w:rsidR="00324C3C" w:rsidRPr="00D43C45" w:rsidRDefault="00324C3C" w:rsidP="00324C3C">
      <w:pPr>
        <w:spacing w:after="0" w:line="240" w:lineRule="auto"/>
        <w:rPr>
          <w:rFonts w:ascii="Garamond" w:hAnsi="Garamond"/>
        </w:rPr>
      </w:pPr>
      <w:r w:rsidRPr="00D43C45">
        <w:rPr>
          <w:rFonts w:ascii="Garamond" w:hAnsi="Garamond"/>
        </w:rPr>
        <w:t xml:space="preserve">Review and take action on the TACF Ad-Hoc team’s investment strategy recommendation and address the approved asset allocation range guidance, established by the finance committee </w:t>
      </w:r>
      <w:r w:rsidR="00D43C45" w:rsidRPr="00D43C45">
        <w:rPr>
          <w:rFonts w:ascii="Garamond" w:hAnsi="Garamond"/>
        </w:rPr>
        <w:t>in</w:t>
      </w:r>
      <w:r w:rsidRPr="00D43C45">
        <w:rPr>
          <w:rFonts w:ascii="Garamond" w:hAnsi="Garamond"/>
        </w:rPr>
        <w:t xml:space="preserve"> 2019.  </w:t>
      </w:r>
    </w:p>
    <w:p w14:paraId="19133B7A" w14:textId="11DD85B3" w:rsidR="00833401" w:rsidRPr="00D43C45" w:rsidRDefault="00833401" w:rsidP="00324C3C">
      <w:pPr>
        <w:spacing w:after="0" w:line="240" w:lineRule="auto"/>
        <w:rPr>
          <w:rFonts w:ascii="Garamond" w:hAnsi="Garamond"/>
        </w:rPr>
      </w:pPr>
    </w:p>
    <w:p w14:paraId="0AF32691" w14:textId="4CEB1FAA" w:rsidR="00D43C45" w:rsidRDefault="00833401" w:rsidP="00324C3C">
      <w:pPr>
        <w:spacing w:after="0" w:line="240" w:lineRule="auto"/>
        <w:rPr>
          <w:rFonts w:ascii="Garamond" w:hAnsi="Garamond"/>
        </w:rPr>
      </w:pPr>
      <w:r w:rsidRPr="00D43C45">
        <w:rPr>
          <w:rFonts w:ascii="Garamond" w:hAnsi="Garamond"/>
          <w:b/>
          <w:bCs/>
        </w:rPr>
        <w:t>Ad-Hoc Investment Strategy Team</w:t>
      </w:r>
      <w:r w:rsidR="00055D0B">
        <w:rPr>
          <w:rStyle w:val="EndnoteReference"/>
          <w:rFonts w:ascii="Garamond" w:hAnsi="Garamond"/>
          <w:b/>
          <w:bCs/>
        </w:rPr>
        <w:endnoteReference w:id="1"/>
      </w:r>
      <w:r w:rsidRPr="00D43C45">
        <w:rPr>
          <w:rFonts w:ascii="Garamond" w:hAnsi="Garamond"/>
          <w:b/>
          <w:bCs/>
        </w:rPr>
        <w:t xml:space="preserve"> Recommendation to the Finance Committee</w:t>
      </w:r>
      <w:r w:rsidRPr="00D43C45">
        <w:rPr>
          <w:rFonts w:ascii="Garamond" w:hAnsi="Garamond"/>
        </w:rPr>
        <w:t xml:space="preserve">:  </w:t>
      </w:r>
    </w:p>
    <w:p w14:paraId="7A5ED75A" w14:textId="257B6C36" w:rsidR="00833401" w:rsidRPr="00D43C45" w:rsidRDefault="00833401" w:rsidP="00324C3C">
      <w:pPr>
        <w:spacing w:after="0" w:line="240" w:lineRule="auto"/>
        <w:rPr>
          <w:rFonts w:ascii="Garamond" w:hAnsi="Garamond"/>
          <w:i/>
          <w:iCs/>
        </w:rPr>
      </w:pPr>
      <w:r w:rsidRPr="00D43C45">
        <w:rPr>
          <w:rFonts w:ascii="Garamond" w:hAnsi="Garamond"/>
          <w:i/>
          <w:iCs/>
        </w:rPr>
        <w:t xml:space="preserve">TACF to move all investment and cash funds currently in Merrill Lynch accounts, </w:t>
      </w:r>
      <w:r w:rsidRPr="00D43C45">
        <w:rPr>
          <w:rFonts w:ascii="Garamond" w:hAnsi="Garamond"/>
          <w:b/>
          <w:bCs/>
          <w:i/>
          <w:iCs/>
        </w:rPr>
        <w:t>transferring 80% into Vanguard Total Stock Market Index Fund</w:t>
      </w:r>
      <w:r w:rsidRPr="00D43C45">
        <w:rPr>
          <w:rFonts w:ascii="Garamond" w:hAnsi="Garamond"/>
          <w:i/>
          <w:iCs/>
        </w:rPr>
        <w:t xml:space="preserve">; and </w:t>
      </w:r>
      <w:r w:rsidRPr="00D43C45">
        <w:rPr>
          <w:rFonts w:ascii="Garamond" w:hAnsi="Garamond"/>
          <w:b/>
          <w:bCs/>
          <w:i/>
          <w:iCs/>
        </w:rPr>
        <w:t>20% into a Vanguard short-term bond index fund</w:t>
      </w:r>
      <w:r w:rsidRPr="00D43C45">
        <w:rPr>
          <w:rFonts w:ascii="Garamond" w:hAnsi="Garamond"/>
          <w:i/>
          <w:iCs/>
        </w:rPr>
        <w:t>.</w:t>
      </w:r>
    </w:p>
    <w:p w14:paraId="4429C705" w14:textId="11C4F033" w:rsidR="00833401" w:rsidRPr="00D43C45" w:rsidRDefault="00833401" w:rsidP="00324C3C">
      <w:pPr>
        <w:spacing w:after="0" w:line="240" w:lineRule="auto"/>
        <w:rPr>
          <w:rFonts w:ascii="Garamond" w:hAnsi="Garamond"/>
          <w:i/>
          <w:iCs/>
        </w:rPr>
      </w:pPr>
    </w:p>
    <w:p w14:paraId="0791EDFD" w14:textId="74DBDE9F" w:rsidR="00DD22FB" w:rsidRPr="00D43C45" w:rsidRDefault="00DD22FB" w:rsidP="00324C3C">
      <w:pPr>
        <w:spacing w:after="0" w:line="240" w:lineRule="auto"/>
        <w:rPr>
          <w:rFonts w:ascii="Garamond" w:hAnsi="Garamond"/>
          <w:b/>
          <w:bCs/>
        </w:rPr>
      </w:pPr>
      <w:r w:rsidRPr="00D43C45">
        <w:rPr>
          <w:rFonts w:ascii="Garamond" w:hAnsi="Garamond"/>
          <w:b/>
          <w:bCs/>
          <w:highlight w:val="yellow"/>
        </w:rPr>
        <w:t>Finance Committee Actions:</w:t>
      </w:r>
    </w:p>
    <w:p w14:paraId="31F85D45" w14:textId="1D1ADC6A" w:rsidR="00DD22FB" w:rsidRPr="00D43C45" w:rsidRDefault="00DD22FB" w:rsidP="00823FF6">
      <w:pPr>
        <w:pStyle w:val="ListParagraph"/>
        <w:numPr>
          <w:ilvl w:val="0"/>
          <w:numId w:val="1"/>
        </w:numPr>
        <w:spacing w:after="0" w:line="240" w:lineRule="auto"/>
        <w:rPr>
          <w:rFonts w:ascii="Garamond" w:hAnsi="Garamond"/>
        </w:rPr>
      </w:pPr>
      <w:r w:rsidRPr="00D43C45">
        <w:rPr>
          <w:rFonts w:ascii="Garamond" w:hAnsi="Garamond"/>
          <w:b/>
          <w:bCs/>
        </w:rPr>
        <w:t xml:space="preserve">Unanimously accepted the Ad-Hoc Team recommendation (above), intact.  </w:t>
      </w:r>
      <w:r w:rsidRPr="00D43C45">
        <w:rPr>
          <w:rFonts w:ascii="Garamond" w:hAnsi="Garamond"/>
        </w:rPr>
        <w:t xml:space="preserve">This acceptance becomes the TACF Finance Committee recommendation to the TACF Board of Directors.  Treasurer will work with TACF staff to present to the Executive Committee, and ultimately to the full Board for 30 days in advance of Board action.  </w:t>
      </w:r>
      <w:r w:rsidR="00D43C45" w:rsidRPr="00D43C45">
        <w:rPr>
          <w:rFonts w:ascii="Garamond" w:hAnsi="Garamond"/>
        </w:rPr>
        <w:t xml:space="preserve">Motion made by Don W., seconded by Brad S.  </w:t>
      </w:r>
    </w:p>
    <w:p w14:paraId="41FF83BC" w14:textId="51A92D4D" w:rsidR="00DD22FB" w:rsidRPr="00D43C45" w:rsidRDefault="00DD22FB" w:rsidP="00823FF6">
      <w:pPr>
        <w:pStyle w:val="ListParagraph"/>
        <w:numPr>
          <w:ilvl w:val="0"/>
          <w:numId w:val="1"/>
        </w:numPr>
        <w:spacing w:after="0" w:line="240" w:lineRule="auto"/>
        <w:rPr>
          <w:rFonts w:ascii="Garamond" w:hAnsi="Garamond"/>
        </w:rPr>
      </w:pPr>
      <w:r w:rsidRPr="00D43C45">
        <w:rPr>
          <w:rFonts w:ascii="Garamond" w:hAnsi="Garamond"/>
          <w:b/>
          <w:bCs/>
        </w:rPr>
        <w:t>Unanimously approved modification of the range of acceptable asset allocation</w:t>
      </w:r>
      <w:r w:rsidRPr="00D43C45">
        <w:rPr>
          <w:rFonts w:ascii="Garamond" w:hAnsi="Garamond"/>
        </w:rPr>
        <w:t xml:space="preserve"> </w:t>
      </w:r>
      <w:r w:rsidRPr="00D43C45">
        <w:rPr>
          <w:rFonts w:ascii="Garamond" w:hAnsi="Garamond"/>
          <w:i/>
          <w:iCs/>
        </w:rPr>
        <w:t>FROM 60/40 – 75/25</w:t>
      </w:r>
      <w:r w:rsidRPr="00D43C45">
        <w:rPr>
          <w:rFonts w:ascii="Garamond" w:hAnsi="Garamond"/>
        </w:rPr>
        <w:t xml:space="preserve"> (approved at the Spring 2019 Finance Committee teleconference call) </w:t>
      </w:r>
      <w:r w:rsidRPr="00D43C45">
        <w:rPr>
          <w:rFonts w:ascii="Garamond" w:hAnsi="Garamond"/>
          <w:b/>
          <w:bCs/>
          <w:i/>
          <w:iCs/>
        </w:rPr>
        <w:t>TO 60/40 – 90/10</w:t>
      </w:r>
      <w:r w:rsidRPr="00D43C45">
        <w:rPr>
          <w:rFonts w:ascii="Garamond" w:hAnsi="Garamond"/>
        </w:rPr>
        <w:t xml:space="preserve"> (equity/Cash &amp; Bonds).</w:t>
      </w:r>
      <w:r w:rsidR="00D43C45" w:rsidRPr="00D43C45">
        <w:rPr>
          <w:rFonts w:ascii="Garamond" w:hAnsi="Garamond"/>
        </w:rPr>
        <w:t xml:space="preserve">  Motion made by Brad S., seconded by Don W. </w:t>
      </w:r>
    </w:p>
    <w:p w14:paraId="35EEF850" w14:textId="6C910690" w:rsidR="00DD22FB" w:rsidRPr="00D43C45" w:rsidRDefault="00DD22FB" w:rsidP="00823FF6">
      <w:pPr>
        <w:pStyle w:val="ListParagraph"/>
        <w:numPr>
          <w:ilvl w:val="0"/>
          <w:numId w:val="1"/>
        </w:numPr>
        <w:spacing w:after="0" w:line="240" w:lineRule="auto"/>
        <w:rPr>
          <w:rFonts w:ascii="Garamond" w:hAnsi="Garamond"/>
          <w:b/>
          <w:bCs/>
        </w:rPr>
      </w:pPr>
      <w:r w:rsidRPr="00D43C45">
        <w:rPr>
          <w:rFonts w:ascii="Garamond" w:hAnsi="Garamond"/>
          <w:b/>
          <w:bCs/>
        </w:rPr>
        <w:t>Requested formation of an ad-hoc team to review and modify as appropriate the current TACF Statement of Investment Policy,</w:t>
      </w:r>
      <w:r w:rsidRPr="00D43C45">
        <w:rPr>
          <w:rFonts w:ascii="Garamond" w:hAnsi="Garamond"/>
        </w:rPr>
        <w:t xml:space="preserve"> approved by the TACF Board of Directors on August 24, 2016.  The Ad-Hoc team will be chartered by Brian McCarthy (chair) and Barb Tormoehlen (treasurer) and will include:  Lewis Lobdell (lead), </w:t>
      </w:r>
      <w:r w:rsidR="00823FF6" w:rsidRPr="00D43C45">
        <w:rPr>
          <w:rFonts w:ascii="Garamond" w:hAnsi="Garamond"/>
        </w:rPr>
        <w:t xml:space="preserve">Jay Cude, Steve Barilovits, and Paul Wingenfeld (staff support). </w:t>
      </w:r>
    </w:p>
    <w:p w14:paraId="0221D114" w14:textId="77777777" w:rsidR="00DD22FB" w:rsidRPr="00D43C45" w:rsidRDefault="00DD22FB" w:rsidP="00324C3C">
      <w:pPr>
        <w:spacing w:after="0" w:line="240" w:lineRule="auto"/>
        <w:rPr>
          <w:rFonts w:ascii="Garamond" w:hAnsi="Garamond"/>
          <w:b/>
          <w:bCs/>
        </w:rPr>
      </w:pPr>
    </w:p>
    <w:p w14:paraId="722235EB" w14:textId="77777777" w:rsidR="00D43C45" w:rsidRDefault="00833401" w:rsidP="00324C3C">
      <w:pPr>
        <w:spacing w:after="0" w:line="240" w:lineRule="auto"/>
        <w:rPr>
          <w:rFonts w:ascii="Garamond" w:hAnsi="Garamond"/>
        </w:rPr>
      </w:pPr>
      <w:r w:rsidRPr="00D43C45">
        <w:rPr>
          <w:rFonts w:ascii="Garamond" w:hAnsi="Garamond"/>
          <w:b/>
          <w:bCs/>
        </w:rPr>
        <w:t>Discussion:</w:t>
      </w:r>
      <w:r w:rsidRPr="00D43C45">
        <w:rPr>
          <w:rFonts w:ascii="Garamond" w:hAnsi="Garamond"/>
        </w:rPr>
        <w:t xml:space="preserve">  </w:t>
      </w:r>
    </w:p>
    <w:p w14:paraId="72BA30E2" w14:textId="54378CD2" w:rsidR="00823FF6" w:rsidRPr="00D43C45" w:rsidRDefault="00833401" w:rsidP="00324C3C">
      <w:pPr>
        <w:spacing w:after="0" w:line="240" w:lineRule="auto"/>
        <w:rPr>
          <w:rFonts w:ascii="Garamond" w:hAnsi="Garamond"/>
        </w:rPr>
      </w:pPr>
      <w:r w:rsidRPr="00D43C45">
        <w:rPr>
          <w:rFonts w:ascii="Garamond" w:hAnsi="Garamond"/>
        </w:rPr>
        <w:t xml:space="preserve">Following presentation of the ad-hoc team recommendation brief, discussion opened, including input received </w:t>
      </w:r>
      <w:r w:rsidR="003066A9" w:rsidRPr="00D43C45">
        <w:rPr>
          <w:rFonts w:ascii="Garamond" w:hAnsi="Garamond"/>
        </w:rPr>
        <w:t>from</w:t>
      </w:r>
      <w:r w:rsidRPr="00D43C45">
        <w:rPr>
          <w:rFonts w:ascii="Garamond" w:hAnsi="Garamond"/>
        </w:rPr>
        <w:t xml:space="preserve"> Mark Stoakes who was not able to make this videoconference.   Attention was drawn to the additional information, received after the ad-hoc team approved their recommendation from Mark Mayer of RS Will Wealth Management.  </w:t>
      </w:r>
    </w:p>
    <w:p w14:paraId="4B3F7EC9" w14:textId="60247C1C" w:rsidR="00833401" w:rsidRPr="00D43C45" w:rsidRDefault="00833401" w:rsidP="00324C3C">
      <w:pPr>
        <w:spacing w:after="0" w:line="240" w:lineRule="auto"/>
        <w:rPr>
          <w:rFonts w:ascii="Garamond" w:hAnsi="Garamond"/>
          <w:b/>
          <w:bCs/>
          <w:i/>
          <w:iCs/>
        </w:rPr>
      </w:pPr>
      <w:r w:rsidRPr="00D43C45">
        <w:rPr>
          <w:rFonts w:ascii="Garamond" w:hAnsi="Garamond"/>
          <w:b/>
          <w:bCs/>
          <w:i/>
          <w:iCs/>
        </w:rPr>
        <w:t>Key points:</w:t>
      </w:r>
    </w:p>
    <w:p w14:paraId="5B5C7F7D" w14:textId="3D5149D4" w:rsidR="00833401" w:rsidRPr="00D43C45" w:rsidRDefault="00833401" w:rsidP="001763B8">
      <w:pPr>
        <w:pStyle w:val="ListParagraph"/>
        <w:numPr>
          <w:ilvl w:val="0"/>
          <w:numId w:val="2"/>
        </w:numPr>
        <w:spacing w:after="0" w:line="240" w:lineRule="auto"/>
        <w:rPr>
          <w:rFonts w:ascii="Garamond" w:hAnsi="Garamond"/>
        </w:rPr>
      </w:pPr>
      <w:r w:rsidRPr="00D43C45">
        <w:rPr>
          <w:rFonts w:ascii="Garamond" w:hAnsi="Garamond"/>
        </w:rPr>
        <w:t xml:space="preserve">It’s important to </w:t>
      </w:r>
      <w:r w:rsidRPr="00D43C45">
        <w:rPr>
          <w:rFonts w:ascii="Garamond" w:hAnsi="Garamond"/>
          <w:b/>
          <w:bCs/>
        </w:rPr>
        <w:t>consider cash on hand in addition to our bonds (stable).</w:t>
      </w:r>
      <w:r w:rsidRPr="00D43C45">
        <w:rPr>
          <w:rFonts w:ascii="Garamond" w:hAnsi="Garamond"/>
        </w:rPr>
        <w:t xml:space="preserve">  Both contribute to our financial protection in uncertain financial times and financial difficulty.  </w:t>
      </w:r>
    </w:p>
    <w:p w14:paraId="728A1BAF" w14:textId="013BD812" w:rsidR="00D15488" w:rsidRPr="00D43C45" w:rsidRDefault="001763B8" w:rsidP="001763B8">
      <w:pPr>
        <w:pStyle w:val="ListParagraph"/>
        <w:numPr>
          <w:ilvl w:val="0"/>
          <w:numId w:val="2"/>
        </w:numPr>
        <w:spacing w:after="0" w:line="240" w:lineRule="auto"/>
        <w:rPr>
          <w:rFonts w:ascii="Garamond" w:hAnsi="Garamond"/>
        </w:rPr>
      </w:pPr>
      <w:r w:rsidRPr="00D43C45">
        <w:rPr>
          <w:rFonts w:ascii="Garamond" w:hAnsi="Garamond"/>
        </w:rPr>
        <w:t>TACF</w:t>
      </w:r>
      <w:r w:rsidR="00D15488" w:rsidRPr="00D43C45">
        <w:rPr>
          <w:rFonts w:ascii="Garamond" w:hAnsi="Garamond"/>
        </w:rPr>
        <w:t xml:space="preserve"> need</w:t>
      </w:r>
      <w:r w:rsidRPr="00D43C45">
        <w:rPr>
          <w:rFonts w:ascii="Garamond" w:hAnsi="Garamond"/>
        </w:rPr>
        <w:t>s</w:t>
      </w:r>
      <w:r w:rsidR="00D15488" w:rsidRPr="00D43C45">
        <w:rPr>
          <w:rFonts w:ascii="Garamond" w:hAnsi="Garamond"/>
        </w:rPr>
        <w:t xml:space="preserve"> to </w:t>
      </w:r>
      <w:r w:rsidR="00823FF6" w:rsidRPr="00D43C45">
        <w:rPr>
          <w:rFonts w:ascii="Garamond" w:hAnsi="Garamond"/>
          <w:b/>
          <w:bCs/>
        </w:rPr>
        <w:t>establish objectives</w:t>
      </w:r>
      <w:r w:rsidR="00823FF6" w:rsidRPr="00D43C45">
        <w:rPr>
          <w:rFonts w:ascii="Garamond" w:hAnsi="Garamond"/>
        </w:rPr>
        <w:t xml:space="preserve"> for percentage of operating funds available in operating accounts and short-term investment funds to secure operations for a determined period of time.  In other words, what liquid assets do we need on hand</w:t>
      </w:r>
      <w:r w:rsidRPr="00D43C45">
        <w:rPr>
          <w:rFonts w:ascii="Garamond" w:hAnsi="Garamond"/>
        </w:rPr>
        <w:t xml:space="preserve">, readily accessible for operations, for what period of time? </w:t>
      </w:r>
      <w:r w:rsidRPr="00D43C45">
        <w:rPr>
          <w:rFonts w:ascii="Garamond" w:hAnsi="Garamond"/>
          <w:i/>
          <w:iCs/>
        </w:rPr>
        <w:t>[Paul shared that our approximately $1.1 million in our operating accounts provides about six to seven months of operations, currently budgeting approximately $2.0 to 2.5 million per annum.]</w:t>
      </w:r>
    </w:p>
    <w:p w14:paraId="2D31FA7F" w14:textId="5AB79919" w:rsidR="001763B8" w:rsidRPr="00D43C45" w:rsidRDefault="001763B8" w:rsidP="001763B8">
      <w:pPr>
        <w:pStyle w:val="ListParagraph"/>
        <w:numPr>
          <w:ilvl w:val="0"/>
          <w:numId w:val="2"/>
        </w:numPr>
        <w:spacing w:after="0" w:line="240" w:lineRule="auto"/>
        <w:rPr>
          <w:rFonts w:ascii="Garamond" w:hAnsi="Garamond"/>
        </w:rPr>
      </w:pPr>
      <w:r w:rsidRPr="00D43C45">
        <w:rPr>
          <w:rFonts w:ascii="Garamond" w:hAnsi="Garamond"/>
        </w:rPr>
        <w:t xml:space="preserve">Above all, we must be disciplined to </w:t>
      </w:r>
      <w:r w:rsidRPr="00D43C45">
        <w:rPr>
          <w:rFonts w:ascii="Garamond" w:hAnsi="Garamond"/>
          <w:b/>
          <w:bCs/>
        </w:rPr>
        <w:t>continue to take a business approach</w:t>
      </w:r>
      <w:r w:rsidRPr="00D43C45">
        <w:rPr>
          <w:rFonts w:ascii="Garamond" w:hAnsi="Garamond"/>
        </w:rPr>
        <w:t xml:space="preserve"> to TACF investments and fiduciary responsibility.  </w:t>
      </w:r>
    </w:p>
    <w:sectPr w:rsidR="001763B8" w:rsidRPr="00D43C45" w:rsidSect="001763B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F842E" w14:textId="77777777" w:rsidR="00A315EC" w:rsidRDefault="00A315EC" w:rsidP="00055D0B">
      <w:pPr>
        <w:spacing w:after="0" w:line="240" w:lineRule="auto"/>
      </w:pPr>
      <w:r>
        <w:separator/>
      </w:r>
    </w:p>
  </w:endnote>
  <w:endnote w:type="continuationSeparator" w:id="0">
    <w:p w14:paraId="2E67EA7E" w14:textId="77777777" w:rsidR="00A315EC" w:rsidRDefault="00A315EC" w:rsidP="00055D0B">
      <w:pPr>
        <w:spacing w:after="0" w:line="240" w:lineRule="auto"/>
      </w:pPr>
      <w:r>
        <w:continuationSeparator/>
      </w:r>
    </w:p>
  </w:endnote>
  <w:endnote w:id="1">
    <w:p w14:paraId="732A90C0" w14:textId="3D377A35" w:rsidR="00055D0B" w:rsidRDefault="00055D0B">
      <w:pPr>
        <w:pStyle w:val="EndnoteText"/>
      </w:pPr>
      <w:r>
        <w:rPr>
          <w:rStyle w:val="EndnoteReference"/>
        </w:rPr>
        <w:endnoteRef/>
      </w:r>
      <w:r>
        <w:t xml:space="preserve"> </w:t>
      </w:r>
      <w:r w:rsidRPr="00E46630">
        <w:rPr>
          <w:b/>
          <w:bCs/>
        </w:rPr>
        <w:t>TACF Ad-Hoc Investment Strategy Team:</w:t>
      </w:r>
      <w:r>
        <w:t xml:space="preserve">  Jay Cude, David Morris, Brad Stanback, Mark Stoakes, Don Willeke, Paul Wingenfeld (staff support), Barb Tormoehlen (facilitator)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EF3EB" w14:textId="77777777" w:rsidR="00A315EC" w:rsidRDefault="00A315EC" w:rsidP="00055D0B">
      <w:pPr>
        <w:spacing w:after="0" w:line="240" w:lineRule="auto"/>
      </w:pPr>
      <w:r>
        <w:separator/>
      </w:r>
    </w:p>
  </w:footnote>
  <w:footnote w:type="continuationSeparator" w:id="0">
    <w:p w14:paraId="04F2CA6B" w14:textId="77777777" w:rsidR="00A315EC" w:rsidRDefault="00A315EC" w:rsidP="00055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6149"/>
    <w:multiLevelType w:val="hybridMultilevel"/>
    <w:tmpl w:val="02CEE7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351136"/>
    <w:multiLevelType w:val="hybridMultilevel"/>
    <w:tmpl w:val="D372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C3C"/>
    <w:rsid w:val="00055D0B"/>
    <w:rsid w:val="001763B8"/>
    <w:rsid w:val="002833C7"/>
    <w:rsid w:val="003066A9"/>
    <w:rsid w:val="00324C3C"/>
    <w:rsid w:val="00823FF6"/>
    <w:rsid w:val="00833401"/>
    <w:rsid w:val="009E6F6A"/>
    <w:rsid w:val="00A315EC"/>
    <w:rsid w:val="00CB678C"/>
    <w:rsid w:val="00D15488"/>
    <w:rsid w:val="00D43C45"/>
    <w:rsid w:val="00DD22FB"/>
    <w:rsid w:val="00E4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C84A"/>
  <w15:chartTrackingRefBased/>
  <w15:docId w15:val="{76EFFCFD-E3F6-4881-BF15-5B749F62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F6"/>
    <w:pPr>
      <w:ind w:left="720"/>
      <w:contextualSpacing/>
    </w:pPr>
  </w:style>
  <w:style w:type="paragraph" w:styleId="EndnoteText">
    <w:name w:val="endnote text"/>
    <w:basedOn w:val="Normal"/>
    <w:link w:val="EndnoteTextChar"/>
    <w:uiPriority w:val="99"/>
    <w:semiHidden/>
    <w:unhideWhenUsed/>
    <w:rsid w:val="00055D0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55D0B"/>
    <w:rPr>
      <w:sz w:val="20"/>
      <w:szCs w:val="20"/>
    </w:rPr>
  </w:style>
  <w:style w:type="character" w:styleId="EndnoteReference">
    <w:name w:val="endnote reference"/>
    <w:basedOn w:val="DefaultParagraphFont"/>
    <w:uiPriority w:val="99"/>
    <w:semiHidden/>
    <w:unhideWhenUsed/>
    <w:rsid w:val="00055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7910A-3FC7-44DF-9D56-29D23CBE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1529</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Tormoehlen</dc:creator>
  <cp:keywords/>
  <dc:description/>
  <cp:lastModifiedBy>Barbara Tormoehlen</cp:lastModifiedBy>
  <cp:revision>7</cp:revision>
  <dcterms:created xsi:type="dcterms:W3CDTF">2020-11-04T18:49:00Z</dcterms:created>
  <dcterms:modified xsi:type="dcterms:W3CDTF">2020-11-05T20:46:00Z</dcterms:modified>
</cp:coreProperties>
</file>